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B49AF" w14:textId="564453A5" w:rsidR="00E875E1" w:rsidRDefault="00E875E1" w:rsidP="6E5436A7">
      <w:pPr>
        <w:jc w:val="center"/>
        <w:rPr>
          <w:b/>
          <w:bCs/>
          <w:color w:val="374151"/>
          <w:sz w:val="28"/>
          <w:szCs w:val="28"/>
        </w:rPr>
      </w:pPr>
      <w:r w:rsidRPr="6E5436A7">
        <w:rPr>
          <w:b/>
          <w:bCs/>
          <w:color w:val="374151"/>
          <w:sz w:val="28"/>
          <w:szCs w:val="28"/>
        </w:rPr>
        <w:t>P</w:t>
      </w:r>
      <w:r w:rsidR="69DEFF22" w:rsidRPr="6E5436A7">
        <w:rPr>
          <w:b/>
          <w:bCs/>
          <w:color w:val="374151"/>
          <w:sz w:val="28"/>
          <w:szCs w:val="28"/>
        </w:rPr>
        <w:t xml:space="preserve">rocess </w:t>
      </w:r>
      <w:r w:rsidRPr="6E5436A7">
        <w:rPr>
          <w:b/>
          <w:bCs/>
          <w:color w:val="374151"/>
          <w:sz w:val="28"/>
          <w:szCs w:val="28"/>
        </w:rPr>
        <w:t>for Establishing New Communities of Practice (CoP)</w:t>
      </w:r>
    </w:p>
    <w:p w14:paraId="43EB189D" w14:textId="2DAE9EDD" w:rsidR="00BD49DE" w:rsidRDefault="00BD49DE" w:rsidP="6E5436A7">
      <w:pPr>
        <w:jc w:val="center"/>
        <w:rPr>
          <w:b/>
          <w:bCs/>
          <w:color w:val="374151"/>
          <w:sz w:val="28"/>
          <w:szCs w:val="28"/>
        </w:rPr>
      </w:pPr>
      <w:r>
        <w:rPr>
          <w:b/>
          <w:bCs/>
          <w:color w:val="374151"/>
          <w:sz w:val="28"/>
          <w:szCs w:val="28"/>
        </w:rPr>
        <w:t>Last Updated: March 7, 2024</w:t>
      </w:r>
    </w:p>
    <w:p w14:paraId="6684233E" w14:textId="77777777" w:rsidR="00BD49DE" w:rsidRPr="00BB680E" w:rsidRDefault="00BD49DE" w:rsidP="6E5436A7">
      <w:pPr>
        <w:jc w:val="center"/>
        <w:rPr>
          <w:b/>
          <w:bCs/>
          <w:color w:val="374151"/>
          <w:sz w:val="28"/>
          <w:szCs w:val="28"/>
        </w:rPr>
      </w:pPr>
    </w:p>
    <w:p w14:paraId="10B1DD31" w14:textId="2A5FB3C1" w:rsidR="00E875E1" w:rsidRPr="00813B9E" w:rsidRDefault="00E875E1" w:rsidP="00E875E1">
      <w:pPr>
        <w:rPr>
          <w:rFonts w:cstheme="minorHAnsi"/>
          <w:b/>
          <w:bCs/>
          <w:color w:val="374151"/>
          <w:sz w:val="24"/>
          <w:szCs w:val="24"/>
        </w:rPr>
      </w:pPr>
      <w:r w:rsidRPr="00813B9E">
        <w:rPr>
          <w:rFonts w:cstheme="minorHAnsi"/>
          <w:b/>
          <w:bCs/>
          <w:color w:val="374151"/>
          <w:sz w:val="24"/>
          <w:szCs w:val="24"/>
        </w:rPr>
        <w:t>1. Introduction</w:t>
      </w:r>
    </w:p>
    <w:p w14:paraId="68F5E0EC" w14:textId="16249721" w:rsidR="00E875E1" w:rsidRDefault="00E875E1" w:rsidP="00045E9E">
      <w:pPr>
        <w:rPr>
          <w:rFonts w:cstheme="minorHAnsi"/>
          <w:sz w:val="24"/>
          <w:szCs w:val="24"/>
        </w:rPr>
      </w:pPr>
      <w:r w:rsidRPr="00813B9E">
        <w:rPr>
          <w:rFonts w:cstheme="minorHAnsi"/>
          <w:sz w:val="24"/>
          <w:szCs w:val="24"/>
        </w:rPr>
        <w:t>This policy outlines the criteria and process for the establishment of new Communities of Practice (CoP) within the Canadian Accessibility Network (CAN). It ensures that any new CoP aligns with CAN's strategic priorities and has the necessary resources and leadership to be successful.</w:t>
      </w:r>
    </w:p>
    <w:p w14:paraId="6578C06B" w14:textId="77777777" w:rsidR="00BD49DE" w:rsidRPr="00813B9E" w:rsidRDefault="00BD49DE" w:rsidP="00045E9E">
      <w:pPr>
        <w:rPr>
          <w:rFonts w:cstheme="minorHAnsi"/>
          <w:color w:val="374151"/>
          <w:sz w:val="24"/>
          <w:szCs w:val="24"/>
        </w:rPr>
      </w:pPr>
    </w:p>
    <w:p w14:paraId="7F9404AD" w14:textId="297E805D" w:rsidR="00E875E1" w:rsidRPr="00813B9E" w:rsidRDefault="00BE4087" w:rsidP="6E5436A7">
      <w:pPr>
        <w:rPr>
          <w:b/>
          <w:bCs/>
          <w:color w:val="374151"/>
          <w:sz w:val="24"/>
          <w:szCs w:val="24"/>
        </w:rPr>
      </w:pPr>
      <w:r w:rsidRPr="6E5436A7">
        <w:rPr>
          <w:b/>
          <w:bCs/>
          <w:color w:val="374151"/>
          <w:sz w:val="24"/>
          <w:szCs w:val="24"/>
        </w:rPr>
        <w:t>2</w:t>
      </w:r>
      <w:r w:rsidR="00E875E1" w:rsidRPr="6E5436A7">
        <w:rPr>
          <w:b/>
          <w:bCs/>
          <w:color w:val="374151"/>
          <w:sz w:val="24"/>
          <w:szCs w:val="24"/>
        </w:rPr>
        <w:t xml:space="preserve">. </w:t>
      </w:r>
      <w:r w:rsidR="5B769F2A" w:rsidRPr="6E5436A7">
        <w:rPr>
          <w:b/>
          <w:bCs/>
          <w:color w:val="374151"/>
          <w:sz w:val="24"/>
          <w:szCs w:val="24"/>
        </w:rPr>
        <w:t xml:space="preserve">Criteria </w:t>
      </w:r>
      <w:r w:rsidR="00E875E1" w:rsidRPr="6E5436A7">
        <w:rPr>
          <w:b/>
          <w:bCs/>
          <w:color w:val="374151"/>
          <w:sz w:val="24"/>
          <w:szCs w:val="24"/>
        </w:rPr>
        <w:t>for Establishment</w:t>
      </w:r>
    </w:p>
    <w:tbl>
      <w:tblPr>
        <w:tblStyle w:val="TableGrid"/>
        <w:tblW w:w="10890" w:type="dxa"/>
        <w:tblInd w:w="-5" w:type="dxa"/>
        <w:tblLook w:val="04A0" w:firstRow="1" w:lastRow="0" w:firstColumn="1" w:lastColumn="0" w:noHBand="0" w:noVBand="1"/>
      </w:tblPr>
      <w:tblGrid>
        <w:gridCol w:w="2357"/>
        <w:gridCol w:w="8533"/>
      </w:tblGrid>
      <w:tr w:rsidR="00E875E1" w:rsidRPr="00813B9E" w14:paraId="3CF11064" w14:textId="77777777" w:rsidTr="00BD49DE">
        <w:tc>
          <w:tcPr>
            <w:tcW w:w="2357" w:type="dxa"/>
            <w:shd w:val="clear" w:color="auto" w:fill="FFCC99"/>
          </w:tcPr>
          <w:p w14:paraId="4290BADF" w14:textId="53FEA028" w:rsidR="00E875E1" w:rsidRPr="00813B9E" w:rsidRDefault="00E875E1" w:rsidP="00E875E1">
            <w:pPr>
              <w:rPr>
                <w:rFonts w:cstheme="minorHAnsi"/>
                <w:b/>
                <w:bCs/>
                <w:sz w:val="24"/>
                <w:szCs w:val="24"/>
              </w:rPr>
            </w:pPr>
            <w:r w:rsidRPr="00813B9E">
              <w:rPr>
                <w:rFonts w:cstheme="minorHAnsi"/>
                <w:b/>
                <w:bCs/>
                <w:sz w:val="24"/>
                <w:szCs w:val="24"/>
              </w:rPr>
              <w:t>Criteria</w:t>
            </w:r>
          </w:p>
        </w:tc>
        <w:tc>
          <w:tcPr>
            <w:tcW w:w="8533" w:type="dxa"/>
            <w:shd w:val="clear" w:color="auto" w:fill="FFCC99"/>
          </w:tcPr>
          <w:p w14:paraId="455DDCEC" w14:textId="2652ECC4" w:rsidR="00E875E1" w:rsidRPr="00813B9E" w:rsidRDefault="00E875E1" w:rsidP="00E875E1">
            <w:pPr>
              <w:rPr>
                <w:rFonts w:cstheme="minorHAnsi"/>
                <w:b/>
                <w:bCs/>
                <w:sz w:val="24"/>
                <w:szCs w:val="24"/>
              </w:rPr>
            </w:pPr>
            <w:r w:rsidRPr="00813B9E">
              <w:rPr>
                <w:rFonts w:cstheme="minorHAnsi"/>
                <w:b/>
                <w:bCs/>
                <w:sz w:val="24"/>
                <w:szCs w:val="24"/>
              </w:rPr>
              <w:t>Description</w:t>
            </w:r>
          </w:p>
        </w:tc>
      </w:tr>
      <w:tr w:rsidR="00E875E1" w:rsidRPr="00AF2603" w14:paraId="54869190" w14:textId="77777777" w:rsidTr="00BD49DE">
        <w:tc>
          <w:tcPr>
            <w:tcW w:w="2357" w:type="dxa"/>
          </w:tcPr>
          <w:p w14:paraId="070EB12F" w14:textId="67A041CD" w:rsidR="00E875E1" w:rsidRPr="00AF2603" w:rsidRDefault="00E875E1" w:rsidP="00E875E1">
            <w:pPr>
              <w:pStyle w:val="ListParagraph"/>
              <w:numPr>
                <w:ilvl w:val="0"/>
                <w:numId w:val="1"/>
              </w:numPr>
              <w:rPr>
                <w:rFonts w:cstheme="minorHAnsi"/>
              </w:rPr>
            </w:pPr>
            <w:r w:rsidRPr="00AF2603">
              <w:rPr>
                <w:rFonts w:cstheme="minorHAnsi"/>
              </w:rPr>
              <w:t>Alignment with Strategic Objectives</w:t>
            </w:r>
          </w:p>
        </w:tc>
        <w:tc>
          <w:tcPr>
            <w:tcW w:w="8533" w:type="dxa"/>
          </w:tcPr>
          <w:p w14:paraId="59B01E48" w14:textId="22A2D102" w:rsidR="00E875E1" w:rsidRPr="00AF2603" w:rsidRDefault="00E875E1" w:rsidP="00E875E1">
            <w:pPr>
              <w:rPr>
                <w:rFonts w:cstheme="minorHAnsi"/>
              </w:rPr>
            </w:pPr>
            <w:r w:rsidRPr="00AF2603">
              <w:rPr>
                <w:rFonts w:cstheme="minorHAnsi"/>
              </w:rPr>
              <w:t>The CoP should directly align with CAN's strategic objectives and priorities. It must contribute to advancing the overall mission and vision of CAN.</w:t>
            </w:r>
          </w:p>
        </w:tc>
      </w:tr>
      <w:tr w:rsidR="00E875E1" w:rsidRPr="00AF2603" w14:paraId="2006EBA4" w14:textId="77777777" w:rsidTr="00BD49DE">
        <w:tc>
          <w:tcPr>
            <w:tcW w:w="2357" w:type="dxa"/>
          </w:tcPr>
          <w:p w14:paraId="0885893B" w14:textId="3ED7538E" w:rsidR="00E875E1" w:rsidRPr="00AF2603" w:rsidRDefault="00E875E1" w:rsidP="00E875E1">
            <w:pPr>
              <w:pStyle w:val="ListParagraph"/>
              <w:numPr>
                <w:ilvl w:val="0"/>
                <w:numId w:val="1"/>
              </w:numPr>
              <w:rPr>
                <w:rFonts w:cstheme="minorHAnsi"/>
              </w:rPr>
            </w:pPr>
            <w:r w:rsidRPr="00AF2603">
              <w:rPr>
                <w:rFonts w:cstheme="minorHAnsi"/>
              </w:rPr>
              <w:t>Member Interest and Demand</w:t>
            </w:r>
          </w:p>
        </w:tc>
        <w:tc>
          <w:tcPr>
            <w:tcW w:w="8533" w:type="dxa"/>
          </w:tcPr>
          <w:p w14:paraId="05EE3F81" w14:textId="3D83AC3E" w:rsidR="009B3551" w:rsidRPr="00AF2603" w:rsidRDefault="00813B9E" w:rsidP="00E875E1">
            <w:pPr>
              <w:rPr>
                <w:rFonts w:cstheme="minorHAnsi"/>
              </w:rPr>
            </w:pPr>
            <w:r w:rsidRPr="00AF2603">
              <w:rPr>
                <w:rFonts w:cstheme="minorHAnsi"/>
              </w:rPr>
              <w:t>There should be clear evidence of significant interest and demand from the CAN membership. This could be measured through survey</w:t>
            </w:r>
            <w:r w:rsidR="00D92150">
              <w:rPr>
                <w:rFonts w:cstheme="minorHAnsi"/>
              </w:rPr>
              <w:t>ing the CAN network</w:t>
            </w:r>
            <w:r w:rsidR="008C4B58">
              <w:rPr>
                <w:rFonts w:cstheme="minorHAnsi"/>
              </w:rPr>
              <w:t xml:space="preserve"> or</w:t>
            </w:r>
            <w:r w:rsidRPr="00AF2603">
              <w:rPr>
                <w:rFonts w:cstheme="minorHAnsi"/>
              </w:rPr>
              <w:t xml:space="preserve"> focus group discussions</w:t>
            </w:r>
            <w:r w:rsidR="00D92150">
              <w:rPr>
                <w:rFonts w:cstheme="minorHAnsi"/>
              </w:rPr>
              <w:t xml:space="preserve"> </w:t>
            </w:r>
            <w:proofErr w:type="gramStart"/>
            <w:r w:rsidR="00D92150">
              <w:rPr>
                <w:rFonts w:cstheme="minorHAnsi"/>
              </w:rPr>
              <w:t>in</w:t>
            </w:r>
            <w:proofErr w:type="gramEnd"/>
            <w:r w:rsidR="00D92150">
              <w:rPr>
                <w:rFonts w:cstheme="minorHAnsi"/>
              </w:rPr>
              <w:t xml:space="preserve"> AC meetings</w:t>
            </w:r>
            <w:r w:rsidR="008C4B58">
              <w:rPr>
                <w:rFonts w:cstheme="minorHAnsi"/>
              </w:rPr>
              <w:t>.</w:t>
            </w:r>
            <w:r w:rsidR="00DD44BB">
              <w:rPr>
                <w:rFonts w:cstheme="minorHAnsi"/>
              </w:rPr>
              <w:t xml:space="preserve"> </w:t>
            </w:r>
          </w:p>
        </w:tc>
      </w:tr>
      <w:tr w:rsidR="00E875E1" w:rsidRPr="00AF2603" w14:paraId="78120D1B" w14:textId="77777777" w:rsidTr="00BD49DE">
        <w:tc>
          <w:tcPr>
            <w:tcW w:w="2357" w:type="dxa"/>
          </w:tcPr>
          <w:p w14:paraId="448AB9C3" w14:textId="4D68B268" w:rsidR="00E875E1" w:rsidRPr="00AF2603" w:rsidRDefault="00E875E1" w:rsidP="00E875E1">
            <w:pPr>
              <w:pStyle w:val="ListParagraph"/>
              <w:numPr>
                <w:ilvl w:val="0"/>
                <w:numId w:val="1"/>
              </w:numPr>
              <w:rPr>
                <w:rFonts w:cstheme="minorHAnsi"/>
              </w:rPr>
            </w:pPr>
            <w:r w:rsidRPr="00AF2603">
              <w:rPr>
                <w:rFonts w:cstheme="minorHAnsi"/>
              </w:rPr>
              <w:t xml:space="preserve">Leadership </w:t>
            </w:r>
          </w:p>
        </w:tc>
        <w:tc>
          <w:tcPr>
            <w:tcW w:w="8533" w:type="dxa"/>
          </w:tcPr>
          <w:p w14:paraId="6D4B2021" w14:textId="77777777" w:rsidR="00D36A49" w:rsidRDefault="00711160" w:rsidP="00CD1170">
            <w:pPr>
              <w:rPr>
                <w:rFonts w:cstheme="minorHAnsi"/>
              </w:rPr>
            </w:pPr>
            <w:r>
              <w:rPr>
                <w:rFonts w:cstheme="minorHAnsi"/>
              </w:rPr>
              <w:t xml:space="preserve">Co-Lead Requirement: </w:t>
            </w:r>
            <w:r w:rsidR="00813B9E" w:rsidRPr="00AF2603">
              <w:rPr>
                <w:rFonts w:cstheme="minorHAnsi"/>
              </w:rPr>
              <w:t>Availability of committed individuals (at least one, preferably more) willing to lead the CoP</w:t>
            </w:r>
            <w:r w:rsidR="00EC48D0">
              <w:rPr>
                <w:rFonts w:cstheme="minorHAnsi"/>
              </w:rPr>
              <w:t xml:space="preserve"> in accorda</w:t>
            </w:r>
            <w:r w:rsidR="00CC043F">
              <w:rPr>
                <w:rFonts w:cstheme="minorHAnsi"/>
              </w:rPr>
              <w:t>nce with the approved CoP guidelines</w:t>
            </w:r>
            <w:r w:rsidR="00813B9E" w:rsidRPr="00AF2603">
              <w:rPr>
                <w:rFonts w:cstheme="minorHAnsi"/>
              </w:rPr>
              <w:t xml:space="preserve">. </w:t>
            </w:r>
          </w:p>
          <w:p w14:paraId="190536BF" w14:textId="496CC840" w:rsidR="00CD1170" w:rsidRPr="00AF2603" w:rsidRDefault="00813B9E" w:rsidP="00CD1170">
            <w:pPr>
              <w:rPr>
                <w:rFonts w:cstheme="minorHAnsi"/>
              </w:rPr>
            </w:pPr>
            <w:r w:rsidRPr="00AF2603">
              <w:rPr>
                <w:rFonts w:cstheme="minorHAnsi"/>
              </w:rPr>
              <w:t xml:space="preserve">The </w:t>
            </w:r>
            <w:r w:rsidR="00D36A49">
              <w:rPr>
                <w:rFonts w:cstheme="minorHAnsi"/>
              </w:rPr>
              <w:t xml:space="preserve">CoP </w:t>
            </w:r>
            <w:r w:rsidRPr="00AF2603">
              <w:rPr>
                <w:rFonts w:cstheme="minorHAnsi"/>
              </w:rPr>
              <w:t xml:space="preserve">leaders </w:t>
            </w:r>
            <w:r w:rsidR="00D36A49" w:rsidRPr="00D36A49">
              <w:rPr>
                <w:rFonts w:cstheme="minorHAnsi"/>
              </w:rPr>
              <w:t>should possess pertinent expertise in the respective field and be willing to invest the necessary time and effort to effectively lead both the CoP and its associated projects.</w:t>
            </w:r>
          </w:p>
        </w:tc>
      </w:tr>
      <w:tr w:rsidR="00E875E1" w:rsidRPr="00AF2603" w14:paraId="4A83DA7E" w14:textId="77777777" w:rsidTr="00BD49DE">
        <w:tc>
          <w:tcPr>
            <w:tcW w:w="2357" w:type="dxa"/>
          </w:tcPr>
          <w:p w14:paraId="50FF7757" w14:textId="6F604859" w:rsidR="00E875E1" w:rsidRPr="00AF2603" w:rsidRDefault="00E875E1" w:rsidP="00E875E1">
            <w:pPr>
              <w:pStyle w:val="ListParagraph"/>
              <w:numPr>
                <w:ilvl w:val="0"/>
                <w:numId w:val="1"/>
              </w:numPr>
              <w:rPr>
                <w:rFonts w:cstheme="minorHAnsi"/>
              </w:rPr>
            </w:pPr>
            <w:r w:rsidRPr="00AF2603">
              <w:rPr>
                <w:rFonts w:cstheme="minorHAnsi"/>
              </w:rPr>
              <w:t>Impact Potential</w:t>
            </w:r>
          </w:p>
        </w:tc>
        <w:tc>
          <w:tcPr>
            <w:tcW w:w="8533" w:type="dxa"/>
          </w:tcPr>
          <w:p w14:paraId="7392318D" w14:textId="4FBFD58E" w:rsidR="00E875E1" w:rsidRPr="00AF2603" w:rsidRDefault="00813B9E" w:rsidP="00E875E1">
            <w:pPr>
              <w:rPr>
                <w:rFonts w:cstheme="minorHAnsi"/>
              </w:rPr>
            </w:pPr>
            <w:r w:rsidRPr="00AF2603">
              <w:rPr>
                <w:rFonts w:cstheme="minorHAnsi"/>
              </w:rPr>
              <w:t>The potential impact of the CoP should be evident, including how it will contribute to the field, benefit members, and align with CAN’s goals.</w:t>
            </w:r>
          </w:p>
        </w:tc>
      </w:tr>
      <w:tr w:rsidR="00E875E1" w:rsidRPr="00AF2603" w14:paraId="29728696" w14:textId="77777777" w:rsidTr="00BD49DE">
        <w:tc>
          <w:tcPr>
            <w:tcW w:w="2357" w:type="dxa"/>
          </w:tcPr>
          <w:p w14:paraId="16BE5C7D" w14:textId="60920F13" w:rsidR="00E875E1" w:rsidRPr="00AF2603" w:rsidRDefault="00E875E1" w:rsidP="00E875E1">
            <w:pPr>
              <w:pStyle w:val="ListParagraph"/>
              <w:numPr>
                <w:ilvl w:val="0"/>
                <w:numId w:val="1"/>
              </w:numPr>
              <w:rPr>
                <w:rFonts w:cstheme="minorHAnsi"/>
              </w:rPr>
            </w:pPr>
            <w:r w:rsidRPr="00AF2603">
              <w:rPr>
                <w:rFonts w:cstheme="minorHAnsi"/>
              </w:rPr>
              <w:t>Collaboration and Synergy</w:t>
            </w:r>
          </w:p>
        </w:tc>
        <w:tc>
          <w:tcPr>
            <w:tcW w:w="8533" w:type="dxa"/>
          </w:tcPr>
          <w:p w14:paraId="1FEEDBCA" w14:textId="603B3615" w:rsidR="00E875E1" w:rsidRPr="00AF2603" w:rsidRDefault="00813B9E" w:rsidP="00E875E1">
            <w:pPr>
              <w:rPr>
                <w:rFonts w:cstheme="minorHAnsi"/>
              </w:rPr>
            </w:pPr>
            <w:r w:rsidRPr="00AF2603">
              <w:rPr>
                <w:rFonts w:cstheme="minorHAnsi"/>
              </w:rPr>
              <w:t>Potential for collaboration with existing CoPs, other organizations, or stakeholders. The new CoP should complement and synergize with existing initiatives rather than duplicate efforts.</w:t>
            </w:r>
          </w:p>
        </w:tc>
      </w:tr>
      <w:tr w:rsidR="00E875E1" w:rsidRPr="00AF2603" w14:paraId="3CE6DA44" w14:textId="77777777" w:rsidTr="00BD49DE">
        <w:tc>
          <w:tcPr>
            <w:tcW w:w="2357" w:type="dxa"/>
          </w:tcPr>
          <w:p w14:paraId="31D06F74" w14:textId="21F033A7" w:rsidR="00E875E1" w:rsidRPr="00AF2603" w:rsidRDefault="00E875E1" w:rsidP="00E875E1">
            <w:pPr>
              <w:pStyle w:val="ListParagraph"/>
              <w:numPr>
                <w:ilvl w:val="0"/>
                <w:numId w:val="1"/>
              </w:numPr>
              <w:rPr>
                <w:rFonts w:cstheme="minorHAnsi"/>
              </w:rPr>
            </w:pPr>
            <w:r w:rsidRPr="00AF2603">
              <w:rPr>
                <w:rFonts w:cstheme="minorHAnsi"/>
              </w:rPr>
              <w:t>Evaluation and Success Metrics</w:t>
            </w:r>
          </w:p>
        </w:tc>
        <w:tc>
          <w:tcPr>
            <w:tcW w:w="8533" w:type="dxa"/>
          </w:tcPr>
          <w:p w14:paraId="4AD28D79" w14:textId="77777777" w:rsidR="00E875E1" w:rsidRDefault="00813B9E" w:rsidP="00E875E1">
            <w:pPr>
              <w:rPr>
                <w:rFonts w:cstheme="minorHAnsi"/>
              </w:rPr>
            </w:pPr>
            <w:r w:rsidRPr="00AF2603">
              <w:rPr>
                <w:rFonts w:cstheme="minorHAnsi"/>
              </w:rPr>
              <w:t>Clear criteria for evaluating the success and impact of the CoP, including specific, measurable, achievable, relevant, and time-bound (SMART) objectives.</w:t>
            </w:r>
          </w:p>
          <w:p w14:paraId="24507009" w14:textId="1962C6D5" w:rsidR="00C05DE9" w:rsidRPr="009C2835" w:rsidRDefault="00C05DE9" w:rsidP="009C2835">
            <w:pPr>
              <w:rPr>
                <w:rFonts w:cstheme="minorHAnsi"/>
              </w:rPr>
            </w:pPr>
          </w:p>
        </w:tc>
      </w:tr>
    </w:tbl>
    <w:p w14:paraId="7D652D00" w14:textId="77777777" w:rsidR="00E875E1" w:rsidRDefault="00E875E1" w:rsidP="00E875E1">
      <w:pPr>
        <w:rPr>
          <w:rFonts w:cstheme="minorHAnsi"/>
        </w:rPr>
      </w:pPr>
    </w:p>
    <w:p w14:paraId="65297E4E" w14:textId="77777777" w:rsidR="009C2835" w:rsidRDefault="009C2835" w:rsidP="00BB680E">
      <w:pPr>
        <w:jc w:val="center"/>
        <w:rPr>
          <w:rFonts w:cstheme="minorHAnsi"/>
          <w:b/>
          <w:bCs/>
          <w:sz w:val="28"/>
          <w:szCs w:val="28"/>
        </w:rPr>
      </w:pPr>
    </w:p>
    <w:p w14:paraId="2A0DB4C5" w14:textId="77777777" w:rsidR="009C2835" w:rsidRDefault="009C2835" w:rsidP="00BB680E">
      <w:pPr>
        <w:jc w:val="center"/>
        <w:rPr>
          <w:rFonts w:cstheme="minorHAnsi"/>
          <w:b/>
          <w:bCs/>
          <w:sz w:val="28"/>
          <w:szCs w:val="28"/>
        </w:rPr>
      </w:pPr>
    </w:p>
    <w:p w14:paraId="3033361F" w14:textId="77777777" w:rsidR="009C2835" w:rsidRDefault="009C2835" w:rsidP="4F322830">
      <w:pPr>
        <w:jc w:val="center"/>
        <w:rPr>
          <w:b/>
          <w:bCs/>
          <w:sz w:val="28"/>
          <w:szCs w:val="28"/>
        </w:rPr>
      </w:pPr>
    </w:p>
    <w:p w14:paraId="3A485E58" w14:textId="36778695" w:rsidR="4F322830" w:rsidRDefault="4F322830" w:rsidP="4F322830">
      <w:pPr>
        <w:jc w:val="center"/>
        <w:rPr>
          <w:b/>
          <w:bCs/>
          <w:sz w:val="28"/>
          <w:szCs w:val="28"/>
        </w:rPr>
      </w:pPr>
    </w:p>
    <w:p w14:paraId="7853D765" w14:textId="77777777" w:rsidR="009C2835" w:rsidRDefault="009C2835" w:rsidP="4F322830">
      <w:pPr>
        <w:jc w:val="center"/>
        <w:rPr>
          <w:b/>
          <w:bCs/>
          <w:sz w:val="28"/>
          <w:szCs w:val="28"/>
        </w:rPr>
      </w:pPr>
    </w:p>
    <w:p w14:paraId="1BDCEC39" w14:textId="2B784C7D" w:rsidR="4F322830" w:rsidRDefault="4F322830" w:rsidP="4F322830">
      <w:pPr>
        <w:jc w:val="center"/>
        <w:rPr>
          <w:b/>
          <w:bCs/>
          <w:sz w:val="28"/>
          <w:szCs w:val="28"/>
        </w:rPr>
      </w:pPr>
    </w:p>
    <w:p w14:paraId="661FB8AF" w14:textId="77777777" w:rsidR="009C2835" w:rsidRDefault="009C2835" w:rsidP="00BB680E">
      <w:pPr>
        <w:jc w:val="center"/>
        <w:rPr>
          <w:rFonts w:cstheme="minorHAnsi"/>
          <w:b/>
          <w:bCs/>
          <w:sz w:val="28"/>
          <w:szCs w:val="28"/>
        </w:rPr>
      </w:pPr>
    </w:p>
    <w:p w14:paraId="474A76A8" w14:textId="437B23F8" w:rsidR="00696C3F" w:rsidRDefault="00696C3F" w:rsidP="00BB680E">
      <w:pPr>
        <w:jc w:val="center"/>
        <w:rPr>
          <w:rFonts w:cstheme="minorHAnsi"/>
          <w:b/>
          <w:bCs/>
          <w:sz w:val="28"/>
          <w:szCs w:val="28"/>
        </w:rPr>
      </w:pPr>
      <w:r w:rsidRPr="00BB680E">
        <w:rPr>
          <w:rFonts w:cstheme="minorHAnsi"/>
          <w:b/>
          <w:bCs/>
          <w:sz w:val="28"/>
          <w:szCs w:val="28"/>
        </w:rPr>
        <w:t>Process for Establishing a New Community of Practice</w:t>
      </w:r>
    </w:p>
    <w:tbl>
      <w:tblPr>
        <w:tblStyle w:val="TableGrid"/>
        <w:tblW w:w="10795" w:type="dxa"/>
        <w:tblLook w:val="04A0" w:firstRow="1" w:lastRow="0" w:firstColumn="1" w:lastColumn="0" w:noHBand="0" w:noVBand="1"/>
      </w:tblPr>
      <w:tblGrid>
        <w:gridCol w:w="4675"/>
        <w:gridCol w:w="6120"/>
      </w:tblGrid>
      <w:tr w:rsidR="002C6883" w14:paraId="576B018A" w14:textId="77777777" w:rsidTr="00BD49DE">
        <w:tc>
          <w:tcPr>
            <w:tcW w:w="4675" w:type="dxa"/>
            <w:shd w:val="clear" w:color="auto" w:fill="FFCC99"/>
          </w:tcPr>
          <w:p w14:paraId="37DEEDBC" w14:textId="76B02528" w:rsidR="002C6883" w:rsidRPr="00BB680E" w:rsidRDefault="002C6883" w:rsidP="00E875E1">
            <w:pPr>
              <w:rPr>
                <w:rFonts w:cstheme="minorHAnsi"/>
                <w:b/>
                <w:bCs/>
              </w:rPr>
            </w:pPr>
            <w:r w:rsidRPr="00BB680E">
              <w:rPr>
                <w:rFonts w:cstheme="minorHAnsi"/>
                <w:b/>
                <w:bCs/>
              </w:rPr>
              <w:t xml:space="preserve">Process </w:t>
            </w:r>
          </w:p>
        </w:tc>
        <w:tc>
          <w:tcPr>
            <w:tcW w:w="6120" w:type="dxa"/>
            <w:shd w:val="clear" w:color="auto" w:fill="FFCC99"/>
          </w:tcPr>
          <w:p w14:paraId="7E532979" w14:textId="63DA45F3" w:rsidR="002C6883" w:rsidRPr="00BB680E" w:rsidRDefault="002C6883" w:rsidP="00E875E1">
            <w:pPr>
              <w:rPr>
                <w:rFonts w:cstheme="minorHAnsi"/>
                <w:b/>
                <w:bCs/>
              </w:rPr>
            </w:pPr>
            <w:r w:rsidRPr="00BB680E">
              <w:rPr>
                <w:rFonts w:cstheme="minorHAnsi"/>
                <w:b/>
                <w:bCs/>
              </w:rPr>
              <w:t>Description</w:t>
            </w:r>
          </w:p>
        </w:tc>
      </w:tr>
      <w:tr w:rsidR="002C6883" w14:paraId="044BE833" w14:textId="77777777" w:rsidTr="00BD49DE">
        <w:tc>
          <w:tcPr>
            <w:tcW w:w="4675" w:type="dxa"/>
          </w:tcPr>
          <w:p w14:paraId="3F26EB44" w14:textId="3F63CAF9" w:rsidR="002C6883" w:rsidRDefault="009C2835" w:rsidP="00E875E1">
            <w:pPr>
              <w:rPr>
                <w:rFonts w:cstheme="minorHAnsi"/>
              </w:rPr>
            </w:pPr>
            <w:r>
              <w:rPr>
                <w:rFonts w:cstheme="minorHAnsi"/>
              </w:rPr>
              <w:t xml:space="preserve">Step 1: </w:t>
            </w:r>
            <w:r w:rsidR="008F294E" w:rsidRPr="008F294E">
              <w:rPr>
                <w:rFonts w:cstheme="minorHAnsi"/>
              </w:rPr>
              <w:t>Identification of Need or Interest</w:t>
            </w:r>
          </w:p>
        </w:tc>
        <w:tc>
          <w:tcPr>
            <w:tcW w:w="6120" w:type="dxa"/>
          </w:tcPr>
          <w:p w14:paraId="77436054" w14:textId="77777777" w:rsidR="002C6883" w:rsidRDefault="008F294E" w:rsidP="00E875E1">
            <w:pPr>
              <w:rPr>
                <w:rFonts w:cstheme="minorHAnsi"/>
              </w:rPr>
            </w:pPr>
            <w:r w:rsidRPr="008F294E">
              <w:rPr>
                <w:rFonts w:cstheme="minorHAnsi"/>
              </w:rPr>
              <w:t>Members within CAN identify a potential area or topic for a new CoP, based on perceived needs, interests, or gaps in current offerings.</w:t>
            </w:r>
          </w:p>
          <w:p w14:paraId="42DCF2D0" w14:textId="77777777" w:rsidR="00B45BD4" w:rsidRDefault="00B45BD4" w:rsidP="00E875E1">
            <w:pPr>
              <w:rPr>
                <w:rFonts w:cstheme="minorHAnsi"/>
              </w:rPr>
            </w:pPr>
          </w:p>
          <w:p w14:paraId="2ABB7999" w14:textId="77777777" w:rsidR="00B45BD4" w:rsidRDefault="00B45BD4" w:rsidP="00B45BD4">
            <w:pPr>
              <w:pStyle w:val="ListParagraph"/>
              <w:numPr>
                <w:ilvl w:val="0"/>
                <w:numId w:val="2"/>
              </w:numPr>
              <w:rPr>
                <w:rFonts w:cstheme="minorHAnsi"/>
              </w:rPr>
            </w:pPr>
            <w:r>
              <w:rPr>
                <w:rFonts w:cstheme="minorHAnsi"/>
              </w:rPr>
              <w:t>Develop a template</w:t>
            </w:r>
            <w:r w:rsidR="00EB6157">
              <w:rPr>
                <w:rFonts w:cstheme="minorHAnsi"/>
              </w:rPr>
              <w:t>, web-</w:t>
            </w:r>
            <w:proofErr w:type="gramStart"/>
            <w:r w:rsidR="00EB6157">
              <w:rPr>
                <w:rFonts w:cstheme="minorHAnsi"/>
              </w:rPr>
              <w:t>based</w:t>
            </w:r>
            <w:proofErr w:type="gramEnd"/>
            <w:r w:rsidR="00EB6157">
              <w:rPr>
                <w:rFonts w:cstheme="minorHAnsi"/>
              </w:rPr>
              <w:t xml:space="preserve"> </w:t>
            </w:r>
          </w:p>
          <w:p w14:paraId="531C6B44" w14:textId="56B29BEA" w:rsidR="006A76B9" w:rsidRPr="00B45BD4" w:rsidRDefault="006A76B9" w:rsidP="00B45BD4">
            <w:pPr>
              <w:pStyle w:val="ListParagraph"/>
              <w:numPr>
                <w:ilvl w:val="0"/>
                <w:numId w:val="2"/>
              </w:numPr>
              <w:rPr>
                <w:rFonts w:cstheme="minorHAnsi"/>
              </w:rPr>
            </w:pPr>
            <w:r>
              <w:rPr>
                <w:rFonts w:cstheme="minorHAnsi"/>
              </w:rPr>
              <w:t xml:space="preserve">In the form, do you have a project you are planning to implement in the first year </w:t>
            </w:r>
          </w:p>
        </w:tc>
      </w:tr>
      <w:tr w:rsidR="002C6883" w14:paraId="0050BFBF" w14:textId="77777777" w:rsidTr="00BD49DE">
        <w:tc>
          <w:tcPr>
            <w:tcW w:w="4675" w:type="dxa"/>
          </w:tcPr>
          <w:p w14:paraId="6F178D7E" w14:textId="2687A0F0" w:rsidR="002C6883" w:rsidRDefault="009C2835" w:rsidP="00E875E1">
            <w:pPr>
              <w:rPr>
                <w:rFonts w:cstheme="minorHAnsi"/>
              </w:rPr>
            </w:pPr>
            <w:r>
              <w:rPr>
                <w:rFonts w:cstheme="minorHAnsi"/>
              </w:rPr>
              <w:t xml:space="preserve">Step 2: </w:t>
            </w:r>
            <w:r w:rsidR="008F294E" w:rsidRPr="008F294E">
              <w:rPr>
                <w:rFonts w:cstheme="minorHAnsi"/>
              </w:rPr>
              <w:t>Development of Proposal</w:t>
            </w:r>
          </w:p>
        </w:tc>
        <w:tc>
          <w:tcPr>
            <w:tcW w:w="6120" w:type="dxa"/>
          </w:tcPr>
          <w:p w14:paraId="759C17FA" w14:textId="4F647725" w:rsidR="002C6883" w:rsidRDefault="00B06534" w:rsidP="00E875E1">
            <w:pPr>
              <w:rPr>
                <w:rFonts w:cstheme="minorHAnsi"/>
              </w:rPr>
            </w:pPr>
            <w:r w:rsidRPr="00B06534">
              <w:rPr>
                <w:rFonts w:cstheme="minorHAnsi"/>
              </w:rPr>
              <w:t>The interested parties develop a comprehensive proposal for the new CoP. This document should detail the CoP's objectives, target audience, expected outcomes, alignment with CAN's strategic goals, and a preliminary plan for leadership, membership, and activities.</w:t>
            </w:r>
          </w:p>
        </w:tc>
      </w:tr>
      <w:tr w:rsidR="002C6883" w14:paraId="28520C85" w14:textId="77777777" w:rsidTr="00BD49DE">
        <w:tc>
          <w:tcPr>
            <w:tcW w:w="4675" w:type="dxa"/>
          </w:tcPr>
          <w:p w14:paraId="34D8A17C" w14:textId="66983095" w:rsidR="002C6883" w:rsidRDefault="009C2835" w:rsidP="00E875E1">
            <w:pPr>
              <w:rPr>
                <w:rFonts w:cstheme="minorHAnsi"/>
              </w:rPr>
            </w:pPr>
            <w:r>
              <w:rPr>
                <w:rFonts w:cstheme="minorHAnsi"/>
              </w:rPr>
              <w:t xml:space="preserve">Step 3: </w:t>
            </w:r>
            <w:r w:rsidR="00B06534" w:rsidRPr="00B06534">
              <w:rPr>
                <w:rFonts w:cstheme="minorHAnsi"/>
              </w:rPr>
              <w:t>Submission to CAN National Office</w:t>
            </w:r>
          </w:p>
        </w:tc>
        <w:tc>
          <w:tcPr>
            <w:tcW w:w="6120" w:type="dxa"/>
          </w:tcPr>
          <w:p w14:paraId="75B7D422" w14:textId="60684E96" w:rsidR="002C6883" w:rsidRDefault="00B06534" w:rsidP="00E875E1">
            <w:pPr>
              <w:rPr>
                <w:rFonts w:cstheme="minorHAnsi"/>
              </w:rPr>
            </w:pPr>
            <w:r w:rsidRPr="00B06534">
              <w:rPr>
                <w:rFonts w:cstheme="minorHAnsi"/>
              </w:rPr>
              <w:t>The proposal is submitted to the CAN national office. This office serves as the first point of review and assessment for new CoP proposals.</w:t>
            </w:r>
          </w:p>
        </w:tc>
      </w:tr>
      <w:tr w:rsidR="002C6883" w14:paraId="239C18E0" w14:textId="77777777" w:rsidTr="00BD49DE">
        <w:tc>
          <w:tcPr>
            <w:tcW w:w="4675" w:type="dxa"/>
          </w:tcPr>
          <w:p w14:paraId="6EB72102" w14:textId="7C67ACAF" w:rsidR="002C6883" w:rsidRDefault="009C2835" w:rsidP="00E875E1">
            <w:pPr>
              <w:rPr>
                <w:rFonts w:cstheme="minorHAnsi"/>
              </w:rPr>
            </w:pPr>
            <w:r>
              <w:rPr>
                <w:rFonts w:cstheme="minorHAnsi"/>
              </w:rPr>
              <w:t xml:space="preserve">Step 4: </w:t>
            </w:r>
            <w:r w:rsidR="00C77CFA" w:rsidRPr="00C77CFA">
              <w:rPr>
                <w:rFonts w:cstheme="minorHAnsi"/>
              </w:rPr>
              <w:t>Extensive Review by CAN National Office</w:t>
            </w:r>
          </w:p>
        </w:tc>
        <w:tc>
          <w:tcPr>
            <w:tcW w:w="6120" w:type="dxa"/>
          </w:tcPr>
          <w:p w14:paraId="027A29A4" w14:textId="36EEA6A9" w:rsidR="002C6883" w:rsidRDefault="00C77CFA" w:rsidP="00E875E1">
            <w:pPr>
              <w:rPr>
                <w:rFonts w:cstheme="minorHAnsi"/>
              </w:rPr>
            </w:pPr>
            <w:r w:rsidRPr="00C77CFA">
              <w:rPr>
                <w:rFonts w:cstheme="minorHAnsi"/>
              </w:rPr>
              <w:t>The CAN national office conducts an extensive review of the proposal. This review assesses the proposal's alignment with the established criteria for new CoPs, including relevance, potential impact, resource requirements, and overall feasibility.</w:t>
            </w:r>
          </w:p>
        </w:tc>
      </w:tr>
      <w:tr w:rsidR="002C6883" w14:paraId="39514C43" w14:textId="77777777" w:rsidTr="00BD49DE">
        <w:tc>
          <w:tcPr>
            <w:tcW w:w="4675" w:type="dxa"/>
          </w:tcPr>
          <w:p w14:paraId="367307DE" w14:textId="1EC4C7F6" w:rsidR="002C6883" w:rsidRDefault="003B6FB3" w:rsidP="00E875E1">
            <w:pPr>
              <w:rPr>
                <w:rFonts w:cstheme="minorHAnsi"/>
              </w:rPr>
            </w:pPr>
            <w:r>
              <w:rPr>
                <w:rFonts w:cstheme="minorHAnsi"/>
              </w:rPr>
              <w:t xml:space="preserve">Step 5: </w:t>
            </w:r>
            <w:r w:rsidR="008350F0" w:rsidRPr="008350F0">
              <w:rPr>
                <w:rFonts w:cstheme="minorHAnsi"/>
              </w:rPr>
              <w:t>Recommendation for Approval</w:t>
            </w:r>
          </w:p>
        </w:tc>
        <w:tc>
          <w:tcPr>
            <w:tcW w:w="6120" w:type="dxa"/>
          </w:tcPr>
          <w:p w14:paraId="7601ACDB" w14:textId="5969A3CE" w:rsidR="002C6883" w:rsidRDefault="008350F0" w:rsidP="00E875E1">
            <w:pPr>
              <w:rPr>
                <w:rFonts w:cstheme="minorHAnsi"/>
              </w:rPr>
            </w:pPr>
            <w:r w:rsidRPr="008350F0">
              <w:rPr>
                <w:rFonts w:cstheme="minorHAnsi"/>
              </w:rPr>
              <w:t>If the proposal meets the minimum requirements and shows potential, the CAN national office recommends the CoP for approval to the Governing Council. This recommendation includes a summary of the proposal's strengths and how it aligns with CAN's strategic objectives.</w:t>
            </w:r>
          </w:p>
        </w:tc>
      </w:tr>
      <w:tr w:rsidR="002C6883" w14:paraId="618D3E64" w14:textId="77777777" w:rsidTr="00BD49DE">
        <w:tc>
          <w:tcPr>
            <w:tcW w:w="4675" w:type="dxa"/>
          </w:tcPr>
          <w:p w14:paraId="7EE7862B" w14:textId="4BC5761D" w:rsidR="002C6883" w:rsidRDefault="00F06574" w:rsidP="00E875E1">
            <w:pPr>
              <w:rPr>
                <w:rFonts w:cstheme="minorHAnsi"/>
              </w:rPr>
            </w:pPr>
            <w:r w:rsidRPr="00F06574">
              <w:rPr>
                <w:rFonts w:cstheme="minorHAnsi"/>
              </w:rPr>
              <w:t>Approval by Governing Council</w:t>
            </w:r>
          </w:p>
        </w:tc>
        <w:tc>
          <w:tcPr>
            <w:tcW w:w="6120" w:type="dxa"/>
          </w:tcPr>
          <w:p w14:paraId="13132C0A" w14:textId="717B49D5" w:rsidR="002C6883" w:rsidRDefault="00F06574" w:rsidP="00E875E1">
            <w:pPr>
              <w:rPr>
                <w:rFonts w:cstheme="minorHAnsi"/>
              </w:rPr>
            </w:pPr>
            <w:r w:rsidRPr="00F06574">
              <w:rPr>
                <w:rFonts w:cstheme="minorHAnsi"/>
              </w:rPr>
              <w:t>The Governing Council reviews the recommendation from the national office and makes the final decision on whether to approve the establishment of the new CoP.</w:t>
            </w:r>
          </w:p>
        </w:tc>
      </w:tr>
      <w:tr w:rsidR="002C6883" w14:paraId="4FA0F083" w14:textId="77777777" w:rsidTr="00BD49DE">
        <w:tc>
          <w:tcPr>
            <w:tcW w:w="4675" w:type="dxa"/>
          </w:tcPr>
          <w:p w14:paraId="029F7C77" w14:textId="03F71221" w:rsidR="002C6883" w:rsidRDefault="00D923E2" w:rsidP="00E875E1">
            <w:pPr>
              <w:rPr>
                <w:rFonts w:cstheme="minorHAnsi"/>
              </w:rPr>
            </w:pPr>
            <w:r w:rsidRPr="00D923E2">
              <w:rPr>
                <w:rFonts w:cstheme="minorHAnsi"/>
              </w:rPr>
              <w:t>Allocation of Resources and Establishment</w:t>
            </w:r>
          </w:p>
        </w:tc>
        <w:tc>
          <w:tcPr>
            <w:tcW w:w="6120" w:type="dxa"/>
          </w:tcPr>
          <w:p w14:paraId="3B76978E" w14:textId="72AC4632" w:rsidR="002C6883" w:rsidRDefault="00D923E2" w:rsidP="00E875E1">
            <w:pPr>
              <w:rPr>
                <w:rFonts w:cstheme="minorHAnsi"/>
              </w:rPr>
            </w:pPr>
            <w:r w:rsidRPr="00D923E2">
              <w:rPr>
                <w:rFonts w:cstheme="minorHAnsi"/>
              </w:rPr>
              <w:t>Upon approval, the necessary resources are allocated, which may include funding, staff time, and other supports. The CoP is then officially established.</w:t>
            </w:r>
          </w:p>
        </w:tc>
      </w:tr>
      <w:tr w:rsidR="00D923E2" w14:paraId="0D539536" w14:textId="77777777" w:rsidTr="00BD49DE">
        <w:tc>
          <w:tcPr>
            <w:tcW w:w="4675" w:type="dxa"/>
          </w:tcPr>
          <w:p w14:paraId="57DA183A" w14:textId="7F5F4A7F" w:rsidR="00D923E2" w:rsidRPr="00D923E2" w:rsidRDefault="00D923E2" w:rsidP="00E875E1">
            <w:pPr>
              <w:rPr>
                <w:rFonts w:cstheme="minorHAnsi"/>
              </w:rPr>
            </w:pPr>
            <w:r w:rsidRPr="00D923E2">
              <w:rPr>
                <w:rFonts w:cstheme="minorHAnsi"/>
              </w:rPr>
              <w:t>Selection of Leadership and Member Recruitment</w:t>
            </w:r>
          </w:p>
        </w:tc>
        <w:tc>
          <w:tcPr>
            <w:tcW w:w="6120" w:type="dxa"/>
          </w:tcPr>
          <w:p w14:paraId="64E05617" w14:textId="0804BC3B" w:rsidR="00D923E2" w:rsidRPr="00D923E2" w:rsidRDefault="00774527" w:rsidP="00E875E1">
            <w:pPr>
              <w:rPr>
                <w:rFonts w:cstheme="minorHAnsi"/>
              </w:rPr>
            </w:pPr>
            <w:r w:rsidRPr="00774527">
              <w:rPr>
                <w:rFonts w:cstheme="minorHAnsi"/>
              </w:rPr>
              <w:t>CoP leadership is confirmed, and efforts are made to recruit members from within CAN, focusing on those with relevant interests and expertise.</w:t>
            </w:r>
          </w:p>
        </w:tc>
      </w:tr>
      <w:tr w:rsidR="00D923E2" w14:paraId="3FE4088B" w14:textId="77777777" w:rsidTr="00BD49DE">
        <w:tc>
          <w:tcPr>
            <w:tcW w:w="4675" w:type="dxa"/>
          </w:tcPr>
          <w:p w14:paraId="00CE0C63" w14:textId="5B4B4022" w:rsidR="00D923E2" w:rsidRPr="00D923E2" w:rsidRDefault="00774527" w:rsidP="00E875E1">
            <w:pPr>
              <w:rPr>
                <w:rFonts w:cstheme="minorHAnsi"/>
              </w:rPr>
            </w:pPr>
            <w:r w:rsidRPr="00774527">
              <w:rPr>
                <w:rFonts w:cstheme="minorHAnsi"/>
              </w:rPr>
              <w:t>Inaugural Meeting and Goal Setting</w:t>
            </w:r>
          </w:p>
        </w:tc>
        <w:tc>
          <w:tcPr>
            <w:tcW w:w="6120" w:type="dxa"/>
          </w:tcPr>
          <w:p w14:paraId="7BBDEAC2" w14:textId="40C142DF" w:rsidR="00D923E2" w:rsidRPr="00D923E2" w:rsidRDefault="00774527" w:rsidP="00E875E1">
            <w:pPr>
              <w:rPr>
                <w:rFonts w:cstheme="minorHAnsi"/>
              </w:rPr>
            </w:pPr>
            <w:r w:rsidRPr="00774527">
              <w:rPr>
                <w:rFonts w:cstheme="minorHAnsi"/>
              </w:rPr>
              <w:t>An initial meeting is held to set specific goals, establish a roadmap, and foster initial engagement among members.</w:t>
            </w:r>
          </w:p>
        </w:tc>
      </w:tr>
      <w:tr w:rsidR="00505F3D" w14:paraId="353E41C5" w14:textId="77777777" w:rsidTr="00BD49DE">
        <w:tc>
          <w:tcPr>
            <w:tcW w:w="4675" w:type="dxa"/>
          </w:tcPr>
          <w:p w14:paraId="2625C972" w14:textId="516B20DE" w:rsidR="00505F3D" w:rsidRPr="00774527" w:rsidRDefault="00505F3D" w:rsidP="00E875E1">
            <w:pPr>
              <w:rPr>
                <w:rFonts w:cstheme="minorHAnsi"/>
              </w:rPr>
            </w:pPr>
            <w:r w:rsidRPr="00505F3D">
              <w:rPr>
                <w:rFonts w:cstheme="minorHAnsi"/>
              </w:rPr>
              <w:t>Ongoing Operations</w:t>
            </w:r>
          </w:p>
        </w:tc>
        <w:tc>
          <w:tcPr>
            <w:tcW w:w="6120" w:type="dxa"/>
          </w:tcPr>
          <w:p w14:paraId="12ADEBDD" w14:textId="618476BE" w:rsidR="00505F3D" w:rsidRPr="00774527" w:rsidRDefault="00505F3D" w:rsidP="00E875E1">
            <w:pPr>
              <w:rPr>
                <w:rFonts w:cstheme="minorHAnsi"/>
              </w:rPr>
            </w:pPr>
            <w:r w:rsidRPr="00505F3D">
              <w:rPr>
                <w:rFonts w:cstheme="minorHAnsi"/>
              </w:rPr>
              <w:t>The CoP commences its regular operations, including meetings, activities, and communication, all aimed at achieving its set objectives.</w:t>
            </w:r>
          </w:p>
        </w:tc>
      </w:tr>
      <w:tr w:rsidR="00505F3D" w14:paraId="2991252C" w14:textId="77777777" w:rsidTr="00BD49DE">
        <w:tc>
          <w:tcPr>
            <w:tcW w:w="4675" w:type="dxa"/>
          </w:tcPr>
          <w:p w14:paraId="32048316" w14:textId="36502A75" w:rsidR="00505F3D" w:rsidRPr="00505F3D" w:rsidRDefault="00505F3D" w:rsidP="00E875E1">
            <w:pPr>
              <w:rPr>
                <w:rFonts w:cstheme="minorHAnsi"/>
              </w:rPr>
            </w:pPr>
            <w:r w:rsidRPr="00505F3D">
              <w:rPr>
                <w:rFonts w:cstheme="minorHAnsi"/>
              </w:rPr>
              <w:t>Monitoring, Evaluation, and Reporting</w:t>
            </w:r>
          </w:p>
        </w:tc>
        <w:tc>
          <w:tcPr>
            <w:tcW w:w="6120" w:type="dxa"/>
          </w:tcPr>
          <w:p w14:paraId="7225A754" w14:textId="02F35053" w:rsidR="00505F3D" w:rsidRPr="00505F3D" w:rsidRDefault="00BB680E" w:rsidP="00E875E1">
            <w:pPr>
              <w:rPr>
                <w:rFonts w:cstheme="minorHAnsi"/>
              </w:rPr>
            </w:pPr>
            <w:r w:rsidRPr="00BB680E">
              <w:rPr>
                <w:rFonts w:cstheme="minorHAnsi"/>
              </w:rPr>
              <w:t>The progress and impact of the CoP are monitored and evaluated regularly. Successes and challenges are reported back to the national office and the Governing Council.</w:t>
            </w:r>
          </w:p>
        </w:tc>
      </w:tr>
    </w:tbl>
    <w:p w14:paraId="17A6B54F" w14:textId="77777777" w:rsidR="00696C3F" w:rsidRPr="00AF2603" w:rsidRDefault="00696C3F" w:rsidP="00E875E1">
      <w:pPr>
        <w:rPr>
          <w:rFonts w:cstheme="minorHAnsi"/>
        </w:rPr>
      </w:pPr>
    </w:p>
    <w:sectPr w:rsidR="00696C3F" w:rsidRPr="00AF2603" w:rsidSect="00CD4EBB">
      <w:headerReference w:type="default" r:id="rId10"/>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DA85A" w14:textId="77777777" w:rsidR="00CD4EBB" w:rsidRDefault="00CD4EBB" w:rsidP="00E875E1">
      <w:pPr>
        <w:spacing w:after="0" w:line="240" w:lineRule="auto"/>
      </w:pPr>
      <w:r>
        <w:separator/>
      </w:r>
    </w:p>
  </w:endnote>
  <w:endnote w:type="continuationSeparator" w:id="0">
    <w:p w14:paraId="39CE3E18" w14:textId="77777777" w:rsidR="00CD4EBB" w:rsidRDefault="00CD4EBB" w:rsidP="00E875E1">
      <w:pPr>
        <w:spacing w:after="0" w:line="240" w:lineRule="auto"/>
      </w:pPr>
      <w:r>
        <w:continuationSeparator/>
      </w:r>
    </w:p>
  </w:endnote>
  <w:endnote w:type="continuationNotice" w:id="1">
    <w:p w14:paraId="468EDC38" w14:textId="77777777" w:rsidR="00CD4EBB" w:rsidRDefault="00CD4E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6E63" w14:textId="29D23CDA" w:rsidR="00AF6CE1" w:rsidRDefault="00AF6CE1" w:rsidP="00AF6CE1">
    <w:pPr>
      <w:pStyle w:val="Default"/>
      <w:jc w:val="both"/>
      <w:rPr>
        <w:sz w:val="22"/>
        <w:szCs w:val="22"/>
      </w:rPr>
    </w:pPr>
    <w:r w:rsidRPr="00653573">
      <w:rPr>
        <w:sz w:val="22"/>
        <w:szCs w:val="22"/>
      </w:rPr>
      <w:t xml:space="preserve">Suite 3500 CTTC, 1125 Colonel </w:t>
    </w:r>
    <w:proofErr w:type="gramStart"/>
    <w:r w:rsidRPr="00653573">
      <w:rPr>
        <w:sz w:val="22"/>
        <w:szCs w:val="22"/>
      </w:rPr>
      <w:t>By</w:t>
    </w:r>
    <w:proofErr w:type="gramEnd"/>
    <w:r w:rsidRPr="00653573">
      <w:rPr>
        <w:sz w:val="22"/>
        <w:szCs w:val="22"/>
      </w:rPr>
      <w:t xml:space="preserve"> Drive</w:t>
    </w:r>
    <w:r w:rsidRPr="00AF6CE1">
      <w:rPr>
        <w:sz w:val="22"/>
        <w:szCs w:val="22"/>
      </w:rPr>
      <w:t xml:space="preserve"> </w:t>
    </w:r>
    <w:r>
      <w:rPr>
        <w:sz w:val="22"/>
        <w:szCs w:val="22"/>
      </w:rPr>
      <w:t xml:space="preserve">                       </w:t>
    </w:r>
    <w:r w:rsidR="00C13406">
      <w:rPr>
        <w:sz w:val="22"/>
        <w:szCs w:val="22"/>
      </w:rPr>
      <w:t xml:space="preserve">  </w:t>
    </w:r>
    <w:r w:rsidR="00C13406">
      <w:rPr>
        <w:sz w:val="22"/>
        <w:szCs w:val="22"/>
      </w:rPr>
      <w:tab/>
    </w:r>
    <w:r w:rsidR="00C13406">
      <w:rPr>
        <w:sz w:val="22"/>
        <w:szCs w:val="22"/>
      </w:rPr>
      <w:tab/>
    </w:r>
    <w:r w:rsidR="00C13406">
      <w:rPr>
        <w:sz w:val="22"/>
        <w:szCs w:val="22"/>
      </w:rPr>
      <w:tab/>
      <w:t xml:space="preserve">     </w:t>
    </w:r>
    <w:r w:rsidRPr="00710837">
      <w:rPr>
        <w:sz w:val="22"/>
        <w:szCs w:val="22"/>
      </w:rPr>
      <w:t>can@carleton.ca</w:t>
    </w:r>
    <w:r>
      <w:rPr>
        <w:sz w:val="22"/>
        <w:szCs w:val="22"/>
      </w:rPr>
      <w:t xml:space="preserve"> |</w:t>
    </w:r>
    <w:r w:rsidR="00C13406" w:rsidRPr="00C13406">
      <w:t xml:space="preserve"> </w:t>
    </w:r>
    <w:r w:rsidR="00C13406" w:rsidRPr="00C13406">
      <w:rPr>
        <w:sz w:val="22"/>
        <w:szCs w:val="22"/>
      </w:rPr>
      <w:t>can-rca.ca</w:t>
    </w:r>
  </w:p>
  <w:p w14:paraId="01208657" w14:textId="7B9D0B31" w:rsidR="00AF6CE1" w:rsidRPr="00653573" w:rsidRDefault="00AF6CE1" w:rsidP="00AF6CE1">
    <w:pPr>
      <w:pStyle w:val="Default"/>
      <w:tabs>
        <w:tab w:val="left" w:pos="6435"/>
        <w:tab w:val="right" w:pos="10800"/>
      </w:tabs>
      <w:jc w:val="both"/>
      <w:rPr>
        <w:sz w:val="22"/>
        <w:szCs w:val="22"/>
      </w:rPr>
    </w:pPr>
    <w:r w:rsidRPr="00653573">
      <w:rPr>
        <w:sz w:val="22"/>
        <w:szCs w:val="22"/>
      </w:rPr>
      <w:t>Ottawa, ON</w:t>
    </w:r>
    <w:r>
      <w:rPr>
        <w:sz w:val="22"/>
        <w:szCs w:val="22"/>
      </w:rPr>
      <w:t xml:space="preserve"> </w:t>
    </w:r>
    <w:r w:rsidRPr="00653573">
      <w:rPr>
        <w:sz w:val="22"/>
        <w:szCs w:val="22"/>
      </w:rPr>
      <w:t>K1S 5B6</w:t>
    </w:r>
  </w:p>
  <w:p w14:paraId="33D124F9" w14:textId="7511AE21" w:rsidR="00044C81" w:rsidRDefault="00044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6A462" w14:textId="77777777" w:rsidR="00CD4EBB" w:rsidRDefault="00CD4EBB" w:rsidP="00E875E1">
      <w:pPr>
        <w:spacing w:after="0" w:line="240" w:lineRule="auto"/>
      </w:pPr>
      <w:r>
        <w:separator/>
      </w:r>
    </w:p>
  </w:footnote>
  <w:footnote w:type="continuationSeparator" w:id="0">
    <w:p w14:paraId="560488D5" w14:textId="77777777" w:rsidR="00CD4EBB" w:rsidRDefault="00CD4EBB" w:rsidP="00E875E1">
      <w:pPr>
        <w:spacing w:after="0" w:line="240" w:lineRule="auto"/>
      </w:pPr>
      <w:r>
        <w:continuationSeparator/>
      </w:r>
    </w:p>
  </w:footnote>
  <w:footnote w:type="continuationNotice" w:id="1">
    <w:p w14:paraId="7BE933DB" w14:textId="77777777" w:rsidR="00CD4EBB" w:rsidRDefault="00CD4E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CC24" w14:textId="6CF85A4B" w:rsidR="00E875E1" w:rsidRPr="00653573" w:rsidRDefault="00E875E1" w:rsidP="00E875E1">
    <w:pPr>
      <w:pStyle w:val="Default"/>
      <w:jc w:val="right"/>
      <w:rPr>
        <w:b/>
      </w:rPr>
    </w:pPr>
    <w:r>
      <w:rPr>
        <w:b/>
        <w:noProof/>
        <w:sz w:val="28"/>
        <w:szCs w:val="28"/>
      </w:rPr>
      <w:drawing>
        <wp:anchor distT="0" distB="0" distL="114300" distR="114300" simplePos="0" relativeHeight="251658240" behindDoc="1" locked="0" layoutInCell="1" allowOverlap="1" wp14:anchorId="0814A85F" wp14:editId="1B8BFCEF">
          <wp:simplePos x="0" y="0"/>
          <wp:positionH relativeFrom="margin">
            <wp:posOffset>-198407</wp:posOffset>
          </wp:positionH>
          <wp:positionV relativeFrom="paragraph">
            <wp:posOffset>7620</wp:posOffset>
          </wp:positionV>
          <wp:extent cx="3562350" cy="366460"/>
          <wp:effectExtent l="0" t="0" r="0" b="0"/>
          <wp:wrapTight wrapText="bothSides">
            <wp:wrapPolygon edited="0">
              <wp:start x="0" y="0"/>
              <wp:lineTo x="0" y="20215"/>
              <wp:lineTo x="21484" y="20215"/>
              <wp:lineTo x="21484"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562350" cy="366460"/>
                  </a:xfrm>
                  <a:prstGeom prst="rect">
                    <a:avLst/>
                  </a:prstGeom>
                </pic:spPr>
              </pic:pic>
            </a:graphicData>
          </a:graphic>
          <wp14:sizeRelH relativeFrom="page">
            <wp14:pctWidth>0</wp14:pctWidth>
          </wp14:sizeRelH>
          <wp14:sizeRelV relativeFrom="page">
            <wp14:pctHeight>0</wp14:pctHeight>
          </wp14:sizeRelV>
        </wp:anchor>
      </w:drawing>
    </w:r>
    <w:r w:rsidRPr="00653573">
      <w:rPr>
        <w:b/>
      </w:rPr>
      <w:t xml:space="preserve">A National </w:t>
    </w:r>
    <w:r>
      <w:rPr>
        <w:b/>
      </w:rPr>
      <w:t xml:space="preserve">Collaboration </w:t>
    </w:r>
    <w:r w:rsidRPr="00653573">
      <w:rPr>
        <w:b/>
      </w:rPr>
      <w:t>for Accessibility</w:t>
    </w:r>
  </w:p>
  <w:p w14:paraId="6915E590" w14:textId="77777777" w:rsidR="00E875E1" w:rsidRDefault="00E875E1" w:rsidP="00E875E1">
    <w:pPr>
      <w:pStyle w:val="Header"/>
    </w:pPr>
  </w:p>
  <w:p w14:paraId="7B2641FD" w14:textId="77777777" w:rsidR="00E875E1" w:rsidRDefault="00E87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E6F9B"/>
    <w:multiLevelType w:val="hybridMultilevel"/>
    <w:tmpl w:val="DA3A8A22"/>
    <w:lvl w:ilvl="0" w:tplc="33CEADBE">
      <w:start w:val="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1B44FA9"/>
    <w:multiLevelType w:val="hybridMultilevel"/>
    <w:tmpl w:val="C85280B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50522517">
    <w:abstractNumId w:val="1"/>
  </w:num>
  <w:num w:numId="2" w16cid:durableId="1175681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E1"/>
    <w:rsid w:val="00033233"/>
    <w:rsid w:val="00044C81"/>
    <w:rsid w:val="00045E9E"/>
    <w:rsid w:val="000B7DB6"/>
    <w:rsid w:val="001879D8"/>
    <w:rsid w:val="00233935"/>
    <w:rsid w:val="002C6883"/>
    <w:rsid w:val="00317C7D"/>
    <w:rsid w:val="003B6FB3"/>
    <w:rsid w:val="004D558A"/>
    <w:rsid w:val="00505F3D"/>
    <w:rsid w:val="0051051B"/>
    <w:rsid w:val="005B575D"/>
    <w:rsid w:val="00696C3F"/>
    <w:rsid w:val="006A76B9"/>
    <w:rsid w:val="00711160"/>
    <w:rsid w:val="00767454"/>
    <w:rsid w:val="00774527"/>
    <w:rsid w:val="007E28BD"/>
    <w:rsid w:val="00813B9E"/>
    <w:rsid w:val="008350F0"/>
    <w:rsid w:val="00864755"/>
    <w:rsid w:val="008A0F6D"/>
    <w:rsid w:val="008A5E9C"/>
    <w:rsid w:val="008C4B58"/>
    <w:rsid w:val="008F294E"/>
    <w:rsid w:val="00925B32"/>
    <w:rsid w:val="009337FB"/>
    <w:rsid w:val="009479B0"/>
    <w:rsid w:val="0099022D"/>
    <w:rsid w:val="009B3551"/>
    <w:rsid w:val="009C2835"/>
    <w:rsid w:val="009C7016"/>
    <w:rsid w:val="00A53753"/>
    <w:rsid w:val="00AC45B0"/>
    <w:rsid w:val="00AC6318"/>
    <w:rsid w:val="00AE3AC7"/>
    <w:rsid w:val="00AF2603"/>
    <w:rsid w:val="00AF6CE1"/>
    <w:rsid w:val="00B01042"/>
    <w:rsid w:val="00B06534"/>
    <w:rsid w:val="00B45BD4"/>
    <w:rsid w:val="00BB680E"/>
    <w:rsid w:val="00BD49DE"/>
    <w:rsid w:val="00BE4087"/>
    <w:rsid w:val="00C05DE9"/>
    <w:rsid w:val="00C13406"/>
    <w:rsid w:val="00C1370F"/>
    <w:rsid w:val="00C77CFA"/>
    <w:rsid w:val="00CC043F"/>
    <w:rsid w:val="00CD1170"/>
    <w:rsid w:val="00CD4EBB"/>
    <w:rsid w:val="00CF439E"/>
    <w:rsid w:val="00D27DA5"/>
    <w:rsid w:val="00D36A49"/>
    <w:rsid w:val="00D92150"/>
    <w:rsid w:val="00D923E2"/>
    <w:rsid w:val="00DC0F01"/>
    <w:rsid w:val="00DD44BB"/>
    <w:rsid w:val="00DF0911"/>
    <w:rsid w:val="00E875E1"/>
    <w:rsid w:val="00EB2F2D"/>
    <w:rsid w:val="00EB6157"/>
    <w:rsid w:val="00EC48D0"/>
    <w:rsid w:val="00F06574"/>
    <w:rsid w:val="00F274C8"/>
    <w:rsid w:val="4F322830"/>
    <w:rsid w:val="5B769F2A"/>
    <w:rsid w:val="69DEFF22"/>
    <w:rsid w:val="6E5436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56FB1"/>
  <w15:chartTrackingRefBased/>
  <w15:docId w15:val="{47B1CEE8-9F76-45AF-B152-3E00E27D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5E1"/>
  </w:style>
  <w:style w:type="paragraph" w:styleId="Footer">
    <w:name w:val="footer"/>
    <w:basedOn w:val="Normal"/>
    <w:link w:val="FooterChar"/>
    <w:uiPriority w:val="99"/>
    <w:unhideWhenUsed/>
    <w:rsid w:val="00E87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5E1"/>
  </w:style>
  <w:style w:type="paragraph" w:customStyle="1" w:styleId="Default">
    <w:name w:val="Default"/>
    <w:rsid w:val="00E875E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875E1"/>
    <w:pPr>
      <w:ind w:left="720"/>
      <w:contextualSpacing/>
    </w:pPr>
  </w:style>
  <w:style w:type="table" w:styleId="TableGrid">
    <w:name w:val="Table Grid"/>
    <w:basedOn w:val="TableNormal"/>
    <w:uiPriority w:val="39"/>
    <w:rsid w:val="00E87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ac4d59-b78b-4c7c-a184-ee6bac8c0d62" xsi:nil="true"/>
    <lcf76f155ced4ddcb4097134ff3c332f xmlns="a0470cb2-2546-4692-a8af-5f5007d101e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F9323777355B4AA1F446D999EE99FF" ma:contentTypeVersion="18" ma:contentTypeDescription="Create a new document." ma:contentTypeScope="" ma:versionID="a54d9712bdea1bb722a2e89c60de1bed">
  <xsd:schema xmlns:xsd="http://www.w3.org/2001/XMLSchema" xmlns:xs="http://www.w3.org/2001/XMLSchema" xmlns:p="http://schemas.microsoft.com/office/2006/metadata/properties" xmlns:ns2="a0470cb2-2546-4692-a8af-5f5007d101e3" xmlns:ns3="c3ac4d59-b78b-4c7c-a184-ee6bac8c0d62" targetNamespace="http://schemas.microsoft.com/office/2006/metadata/properties" ma:root="true" ma:fieldsID="aab8b1ba2c00dfee0079667c22ef9e3d" ns2:_="" ns3:_="">
    <xsd:import namespace="a0470cb2-2546-4692-a8af-5f5007d101e3"/>
    <xsd:import namespace="c3ac4d59-b78b-4c7c-a184-ee6bac8c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70cb2-2546-4692-a8af-5f5007d10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643bf9-c92d-4565-8aae-71318312e3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ac4d59-b78b-4c7c-a184-ee6bac8c0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ca0099-0f04-4ee3-befa-5bf41d5d316e}" ma:internalName="TaxCatchAll" ma:showField="CatchAllData" ma:web="c3ac4d59-b78b-4c7c-a184-ee6bac8c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C9675-3D96-48C3-BE55-270850EAC73C}">
  <ds:schemaRefs>
    <ds:schemaRef ds:uri="http://purl.org/dc/dcmitype/"/>
    <ds:schemaRef ds:uri="a0470cb2-2546-4692-a8af-5f5007d101e3"/>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c3ac4d59-b78b-4c7c-a184-ee6bac8c0d62"/>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28BB4749-F197-433E-8C78-344A53A1D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70cb2-2546-4692-a8af-5f5007d101e3"/>
    <ds:schemaRef ds:uri="c3ac4d59-b78b-4c7c-a184-ee6bac8c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F0315D-CD97-4879-AA4D-82A562D2DD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Mastoor Al Kaboody</dc:creator>
  <cp:keywords/>
  <dc:description/>
  <cp:lastModifiedBy>Julie Caldwell</cp:lastModifiedBy>
  <cp:revision>53</cp:revision>
  <dcterms:created xsi:type="dcterms:W3CDTF">2024-01-10T18:08:00Z</dcterms:created>
  <dcterms:modified xsi:type="dcterms:W3CDTF">2024-03-07T13:37:00Z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0x010100D6F9323777355B4AA1F446D999EE99FF</vt:lpwstr>
  </property>
  <property fmtid="{D5CDD505-2E9C-101B-9397-08002B2CF9AE}" pid="3" name="MediaServiceImageTags">
    <vt:lpwstr/>
  </property>
</Properties>
</file>